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E050A" w:rsidRDefault="00B90C0A" w:rsidP="00B90C0A">
      <w:pPr>
        <w:rPr>
          <w:rFonts w:eastAsia="Calibri"/>
          <w:color w:val="333F50"/>
          <w:sz w:val="16"/>
          <w:szCs w:val="16"/>
        </w:rPr>
      </w:pPr>
    </w:p>
    <w:p w14:paraId="66B4344D" w14:textId="7F2FA0EC" w:rsidR="009343A2" w:rsidRPr="00BE050A" w:rsidRDefault="00EF6CEB" w:rsidP="004D205F">
      <w:pPr>
        <w:rPr>
          <w:rFonts w:asciiTheme="minorHAnsi" w:hAnsiTheme="minorHAnsi"/>
          <w:sz w:val="24"/>
          <w:szCs w:val="24"/>
        </w:rPr>
      </w:pPr>
      <w:bookmarkStart w:id="0" w:name="ShortDateNow"/>
      <w:bookmarkEnd w:id="0"/>
      <w:r w:rsidRPr="00BE050A">
        <w:rPr>
          <w:rFonts w:asciiTheme="minorHAnsi" w:hAnsiTheme="minorHAnsi"/>
          <w:sz w:val="24"/>
          <w:szCs w:val="24"/>
        </w:rPr>
        <w:t xml:space="preserve">January </w:t>
      </w:r>
      <w:r w:rsidR="00280413" w:rsidRPr="00BE050A">
        <w:rPr>
          <w:rFonts w:asciiTheme="minorHAnsi" w:hAnsiTheme="minorHAnsi"/>
          <w:sz w:val="24"/>
          <w:szCs w:val="24"/>
        </w:rPr>
        <w:t>22</w:t>
      </w:r>
      <w:r w:rsidRPr="00BE050A">
        <w:rPr>
          <w:rFonts w:asciiTheme="minorHAnsi" w:hAnsiTheme="minorHAnsi"/>
          <w:sz w:val="24"/>
          <w:szCs w:val="24"/>
        </w:rPr>
        <w:t>, 2026</w:t>
      </w:r>
    </w:p>
    <w:p w14:paraId="2A476629" w14:textId="77777777" w:rsidR="004D205F" w:rsidRPr="00BE050A" w:rsidRDefault="004D205F" w:rsidP="009343A2">
      <w:pPr>
        <w:ind w:left="1440"/>
        <w:rPr>
          <w:rFonts w:asciiTheme="minorHAnsi" w:hAnsiTheme="minorHAnsi"/>
          <w:sz w:val="24"/>
          <w:szCs w:val="24"/>
        </w:rPr>
      </w:pPr>
    </w:p>
    <w:p w14:paraId="1026F3DC" w14:textId="15168E3C" w:rsidR="009343A2" w:rsidRPr="00BE050A" w:rsidRDefault="009343A2" w:rsidP="009343A2">
      <w:pPr>
        <w:rPr>
          <w:rFonts w:asciiTheme="minorHAnsi" w:hAnsiTheme="minorHAnsi"/>
          <w:b/>
          <w:bCs/>
          <w:sz w:val="28"/>
          <w:szCs w:val="28"/>
        </w:rPr>
      </w:pPr>
      <w:r w:rsidRPr="00BE050A">
        <w:rPr>
          <w:rFonts w:asciiTheme="minorHAnsi" w:hAnsiTheme="minorHAnsi"/>
          <w:b/>
          <w:bCs/>
          <w:sz w:val="28"/>
          <w:szCs w:val="28"/>
        </w:rPr>
        <w:t>Lawren</w:t>
      </w:r>
      <w:r w:rsidR="00E82FB0" w:rsidRPr="00BE050A">
        <w:rPr>
          <w:rFonts w:asciiTheme="minorHAnsi" w:hAnsiTheme="minorHAnsi"/>
          <w:b/>
          <w:bCs/>
          <w:sz w:val="28"/>
          <w:szCs w:val="28"/>
        </w:rPr>
        <w:t xml:space="preserve">ce Board of REALTORS® Releases </w:t>
      </w:r>
      <w:r w:rsidRPr="00BE050A">
        <w:rPr>
          <w:rFonts w:asciiTheme="minorHAnsi" w:hAnsiTheme="minorHAnsi"/>
          <w:b/>
          <w:bCs/>
          <w:sz w:val="28"/>
          <w:szCs w:val="28"/>
        </w:rPr>
        <w:t>Home Sales Figures</w:t>
      </w:r>
      <w:r w:rsidR="00742EB6" w:rsidRPr="00BE050A">
        <w:rPr>
          <w:rFonts w:asciiTheme="minorHAnsi" w:hAnsiTheme="minorHAnsi"/>
          <w:b/>
          <w:bCs/>
          <w:sz w:val="28"/>
          <w:szCs w:val="28"/>
        </w:rPr>
        <w:t xml:space="preserve"> fo</w:t>
      </w:r>
      <w:r w:rsidR="00800CDB" w:rsidRPr="00BE050A">
        <w:rPr>
          <w:rFonts w:asciiTheme="minorHAnsi" w:hAnsiTheme="minorHAnsi"/>
          <w:b/>
          <w:bCs/>
          <w:sz w:val="28"/>
          <w:szCs w:val="28"/>
        </w:rPr>
        <w:t xml:space="preserve">r </w:t>
      </w:r>
      <w:bookmarkStart w:id="1" w:name="MonthYear"/>
      <w:bookmarkEnd w:id="1"/>
      <w:r w:rsidR="00EF6CEB" w:rsidRPr="00BE050A">
        <w:rPr>
          <w:rFonts w:asciiTheme="minorHAnsi" w:hAnsiTheme="minorHAnsi"/>
          <w:b/>
          <w:bCs/>
          <w:sz w:val="28"/>
          <w:szCs w:val="28"/>
        </w:rPr>
        <w:t>December 2025</w:t>
      </w:r>
    </w:p>
    <w:p w14:paraId="416604E8" w14:textId="77777777" w:rsidR="009343A2" w:rsidRPr="00BE050A" w:rsidRDefault="009343A2" w:rsidP="009343A2">
      <w:pPr>
        <w:rPr>
          <w:rFonts w:asciiTheme="minorHAnsi" w:hAnsiTheme="minorHAnsi"/>
          <w:sz w:val="24"/>
          <w:szCs w:val="24"/>
        </w:rPr>
      </w:pPr>
    </w:p>
    <w:p w14:paraId="5D5190C3" w14:textId="77777777" w:rsidR="00EF6CEB" w:rsidRPr="00BE050A" w:rsidRDefault="00EF6CEB" w:rsidP="00933AC0">
      <w:pPr>
        <w:pStyle w:val="PlainText"/>
        <w:rPr>
          <w:rFonts w:ascii="Calibri" w:hAnsi="Calibri" w:cs="Calibri"/>
          <w:sz w:val="24"/>
          <w:szCs w:val="24"/>
        </w:rPr>
      </w:pPr>
      <w:bookmarkStart w:id="2" w:name="TextPlace"/>
      <w:bookmarkEnd w:id="2"/>
      <w:r w:rsidRPr="00BE050A">
        <w:rPr>
          <w:rFonts w:ascii="Calibri" w:hAnsi="Calibri" w:cs="Calibri"/>
          <w:sz w:val="24"/>
          <w:szCs w:val="24"/>
        </w:rPr>
        <w:t xml:space="preserve">Homes sales in the City of Lawrence fell by 17.5% in December compared to the prior year. Sales in December 2025 totaled 66 units, down from 80 in 2024. </w:t>
      </w:r>
    </w:p>
    <w:p w14:paraId="1D2B7B2F" w14:textId="77777777" w:rsidR="00EF6CEB" w:rsidRPr="00BE050A" w:rsidRDefault="00EF6CEB" w:rsidP="00933AC0">
      <w:pPr>
        <w:pStyle w:val="PlainText"/>
        <w:rPr>
          <w:rFonts w:ascii="Calibri" w:hAnsi="Calibri" w:cs="Calibri"/>
          <w:sz w:val="24"/>
          <w:szCs w:val="24"/>
        </w:rPr>
      </w:pPr>
    </w:p>
    <w:p w14:paraId="28217498" w14:textId="77777777" w:rsidR="00EF6CEB" w:rsidRPr="00BE050A" w:rsidRDefault="00EF6CEB" w:rsidP="00933AC0">
      <w:pPr>
        <w:pStyle w:val="PlainText"/>
        <w:rPr>
          <w:rFonts w:ascii="Calibri" w:hAnsi="Calibri" w:cs="Calibri"/>
          <w:sz w:val="24"/>
          <w:szCs w:val="24"/>
        </w:rPr>
      </w:pPr>
      <w:r w:rsidRPr="00BE050A">
        <w:rPr>
          <w:rFonts w:ascii="Calibri" w:hAnsi="Calibri" w:cs="Calibri"/>
          <w:sz w:val="24"/>
          <w:szCs w:val="24"/>
        </w:rPr>
        <w:t xml:space="preserve">Among existing homes, 63 units sold in December, a decrease of 13.7% from 73 units that sold in 2024. The average sale price of existing homes was $379,121. This represents an increase of 19.7% from </w:t>
      </w:r>
      <w:proofErr w:type="gramStart"/>
      <w:r w:rsidRPr="00BE050A">
        <w:rPr>
          <w:rFonts w:ascii="Calibri" w:hAnsi="Calibri" w:cs="Calibri"/>
          <w:sz w:val="24"/>
          <w:szCs w:val="24"/>
        </w:rPr>
        <w:t>the December</w:t>
      </w:r>
      <w:proofErr w:type="gramEnd"/>
      <w:r w:rsidRPr="00BE050A">
        <w:rPr>
          <w:rFonts w:ascii="Calibri" w:hAnsi="Calibri" w:cs="Calibri"/>
          <w:sz w:val="24"/>
          <w:szCs w:val="24"/>
        </w:rPr>
        <w:t xml:space="preserve"> </w:t>
      </w:r>
      <w:proofErr w:type="gramStart"/>
      <w:r w:rsidRPr="00BE050A">
        <w:rPr>
          <w:rFonts w:ascii="Calibri" w:hAnsi="Calibri" w:cs="Calibri"/>
          <w:sz w:val="24"/>
          <w:szCs w:val="24"/>
        </w:rPr>
        <w:t>2024</w:t>
      </w:r>
      <w:proofErr w:type="gramEnd"/>
      <w:r w:rsidRPr="00BE050A">
        <w:rPr>
          <w:rFonts w:ascii="Calibri" w:hAnsi="Calibri" w:cs="Calibri"/>
          <w:sz w:val="24"/>
          <w:szCs w:val="24"/>
        </w:rPr>
        <w:t xml:space="preserve"> average price of $316,831. </w:t>
      </w:r>
    </w:p>
    <w:p w14:paraId="2682BFBD" w14:textId="77777777" w:rsidR="00EF6CEB" w:rsidRPr="00BE050A" w:rsidRDefault="00EF6CEB" w:rsidP="00933AC0">
      <w:pPr>
        <w:pStyle w:val="PlainText"/>
        <w:rPr>
          <w:rFonts w:ascii="Calibri" w:hAnsi="Calibri" w:cs="Calibri"/>
          <w:sz w:val="24"/>
          <w:szCs w:val="24"/>
        </w:rPr>
      </w:pPr>
    </w:p>
    <w:p w14:paraId="01028B4F" w14:textId="77777777" w:rsidR="00EF6CEB" w:rsidRPr="00BE050A" w:rsidRDefault="00EF6CEB" w:rsidP="00933AC0">
      <w:pPr>
        <w:pStyle w:val="PlainText"/>
        <w:rPr>
          <w:rFonts w:ascii="Calibri" w:hAnsi="Calibri" w:cs="Calibri"/>
          <w:sz w:val="24"/>
          <w:szCs w:val="24"/>
        </w:rPr>
      </w:pPr>
      <w:r w:rsidRPr="00BE050A">
        <w:rPr>
          <w:rFonts w:ascii="Calibri" w:hAnsi="Calibri" w:cs="Calibri"/>
          <w:sz w:val="24"/>
          <w:szCs w:val="24"/>
        </w:rPr>
        <w:t xml:space="preserve">For new construction, 3 sales occurred in December, down from 6 units the prior year, a decrease of 50.0%. The average sale price of new homes in December was $331,633, down 32.7% from the same period last year. </w:t>
      </w:r>
    </w:p>
    <w:p w14:paraId="59A6FA6A" w14:textId="77777777" w:rsidR="00EF6CEB" w:rsidRPr="00BE050A" w:rsidRDefault="00EF6CEB" w:rsidP="00933AC0">
      <w:pPr>
        <w:pStyle w:val="PlainText"/>
        <w:rPr>
          <w:rFonts w:ascii="Calibri" w:hAnsi="Calibri" w:cs="Calibri"/>
          <w:sz w:val="24"/>
          <w:szCs w:val="24"/>
        </w:rPr>
      </w:pPr>
    </w:p>
    <w:p w14:paraId="75E18E7F" w14:textId="77777777" w:rsidR="00EF6CEB" w:rsidRPr="00BE050A" w:rsidRDefault="00EF6CEB" w:rsidP="00933AC0">
      <w:pPr>
        <w:pStyle w:val="PlainText"/>
        <w:rPr>
          <w:rFonts w:ascii="Calibri" w:hAnsi="Calibri" w:cs="Calibri"/>
          <w:sz w:val="24"/>
          <w:szCs w:val="24"/>
        </w:rPr>
      </w:pPr>
      <w:r w:rsidRPr="00BE050A">
        <w:rPr>
          <w:rFonts w:ascii="Calibri" w:hAnsi="Calibri" w:cs="Calibri"/>
          <w:sz w:val="24"/>
          <w:szCs w:val="24"/>
        </w:rPr>
        <w:t xml:space="preserve">A total of 40 contracts for sale were written in December 2025, down from 51 in December 2024. This is a decrease of 21.6%. Contracts written during the month reflect, in part, sales that will close in the near future. </w:t>
      </w:r>
    </w:p>
    <w:p w14:paraId="69248935" w14:textId="77777777" w:rsidR="00EF6CEB" w:rsidRPr="00BE050A" w:rsidRDefault="00EF6CEB" w:rsidP="00933AC0">
      <w:pPr>
        <w:pStyle w:val="PlainText"/>
        <w:rPr>
          <w:rFonts w:ascii="Calibri" w:hAnsi="Calibri" w:cs="Calibri"/>
          <w:sz w:val="24"/>
          <w:szCs w:val="24"/>
        </w:rPr>
      </w:pPr>
    </w:p>
    <w:p w14:paraId="39B0A5D3" w14:textId="77777777" w:rsidR="00EF6CEB" w:rsidRPr="00BE050A" w:rsidRDefault="00EF6CEB" w:rsidP="00933AC0">
      <w:pPr>
        <w:pStyle w:val="PlainText"/>
        <w:rPr>
          <w:rFonts w:ascii="Calibri" w:hAnsi="Calibri" w:cs="Calibri"/>
          <w:sz w:val="24"/>
          <w:szCs w:val="24"/>
        </w:rPr>
      </w:pPr>
      <w:r w:rsidRPr="00BE050A">
        <w:rPr>
          <w:rFonts w:ascii="Calibri" w:hAnsi="Calibri" w:cs="Calibri"/>
          <w:sz w:val="24"/>
          <w:szCs w:val="24"/>
        </w:rPr>
        <w:t>The inventory of active listings in the City of Lawrence stood at 146 units at the end of December, which is up from 122 homes that were on the market at the end of December last year. At the current rate of sales, this figure represents 1.8 months' supply of homes on the market.</w:t>
      </w:r>
    </w:p>
    <w:p w14:paraId="01D704CA" w14:textId="77777777" w:rsidR="000943E0" w:rsidRPr="00BE050A" w:rsidRDefault="000943E0" w:rsidP="004E177F">
      <w:pPr>
        <w:rPr>
          <w:rFonts w:cs="Calibri"/>
          <w:sz w:val="24"/>
          <w:szCs w:val="24"/>
        </w:rPr>
      </w:pPr>
    </w:p>
    <w:p w14:paraId="18CDDC35" w14:textId="462A1A52" w:rsidR="00BE050A" w:rsidRPr="00BE050A" w:rsidRDefault="00CC5948" w:rsidP="00BE050A">
      <w:pPr>
        <w:rPr>
          <w:rFonts w:cs="Calibri"/>
          <w:b/>
          <w:bCs/>
          <w:i/>
          <w:iCs/>
          <w:sz w:val="24"/>
          <w:szCs w:val="24"/>
        </w:rPr>
      </w:pPr>
      <w:r w:rsidRPr="00BE050A">
        <w:rPr>
          <w:rFonts w:cs="Calibri"/>
          <w:bCs/>
          <w:iCs/>
          <w:sz w:val="24"/>
          <w:szCs w:val="24"/>
        </w:rPr>
        <w:t>According to</w:t>
      </w:r>
      <w:r w:rsidR="00ED5DF3" w:rsidRPr="00BE050A">
        <w:rPr>
          <w:rFonts w:cs="Calibri"/>
          <w:bCs/>
          <w:iCs/>
          <w:sz w:val="24"/>
          <w:szCs w:val="24"/>
        </w:rPr>
        <w:t xml:space="preserve"> </w:t>
      </w:r>
      <w:bookmarkStart w:id="3" w:name="Quotation"/>
      <w:bookmarkEnd w:id="3"/>
      <w:r w:rsidR="00280413" w:rsidRPr="00BE050A">
        <w:rPr>
          <w:rFonts w:cs="Calibri"/>
          <w:bCs/>
          <w:iCs/>
          <w:sz w:val="24"/>
          <w:szCs w:val="24"/>
        </w:rPr>
        <w:t>Erin Maigaard</w:t>
      </w:r>
      <w:r w:rsidR="00EF6CEB" w:rsidRPr="00BE050A">
        <w:rPr>
          <w:rFonts w:cs="Calibri"/>
          <w:bCs/>
          <w:iCs/>
          <w:sz w:val="24"/>
          <w:szCs w:val="24"/>
        </w:rPr>
        <w:t xml:space="preserve">, </w:t>
      </w:r>
      <w:r w:rsidR="00280413" w:rsidRPr="00BE050A">
        <w:rPr>
          <w:rFonts w:cs="Calibri"/>
          <w:bCs/>
          <w:iCs/>
          <w:sz w:val="24"/>
          <w:szCs w:val="24"/>
        </w:rPr>
        <w:t xml:space="preserve">2026 </w:t>
      </w:r>
      <w:r w:rsidR="00EF6CEB" w:rsidRPr="00BE050A">
        <w:rPr>
          <w:rFonts w:cs="Calibri"/>
          <w:bCs/>
          <w:iCs/>
          <w:sz w:val="24"/>
          <w:szCs w:val="24"/>
        </w:rPr>
        <w:t>President of the Lawrence Board of REALTORS®</w:t>
      </w:r>
      <w:r w:rsidRPr="00BE050A">
        <w:rPr>
          <w:rFonts w:cs="Calibri"/>
          <w:bCs/>
          <w:iCs/>
          <w:sz w:val="24"/>
          <w:szCs w:val="24"/>
        </w:rPr>
        <w:t>,</w:t>
      </w:r>
      <w:r w:rsidRPr="00BE050A">
        <w:rPr>
          <w:rFonts w:cs="Calibri"/>
          <w:b/>
          <w:bCs/>
          <w:i/>
          <w:iCs/>
          <w:sz w:val="24"/>
          <w:szCs w:val="24"/>
        </w:rPr>
        <w:t xml:space="preserve"> “</w:t>
      </w:r>
      <w:r w:rsidR="00280413" w:rsidRPr="00BE050A">
        <w:rPr>
          <w:rFonts w:cs="Calibri"/>
          <w:b/>
          <w:bCs/>
          <w:i/>
          <w:iCs/>
          <w:sz w:val="24"/>
          <w:szCs w:val="24"/>
        </w:rPr>
        <w:t xml:space="preserve">Looking </w:t>
      </w:r>
      <w:r w:rsidR="00034256" w:rsidRPr="00BE050A">
        <w:rPr>
          <w:rFonts w:cs="Calibri"/>
          <w:b/>
          <w:bCs/>
          <w:i/>
          <w:iCs/>
          <w:sz w:val="24"/>
          <w:szCs w:val="24"/>
        </w:rPr>
        <w:t xml:space="preserve">back </w:t>
      </w:r>
      <w:r w:rsidR="00280413" w:rsidRPr="00BE050A">
        <w:rPr>
          <w:rFonts w:cs="Calibri"/>
          <w:b/>
          <w:bCs/>
          <w:i/>
          <w:iCs/>
          <w:sz w:val="24"/>
          <w:szCs w:val="24"/>
        </w:rPr>
        <w:t xml:space="preserve">at </w:t>
      </w:r>
      <w:r w:rsidR="00034256" w:rsidRPr="00BE050A">
        <w:rPr>
          <w:rFonts w:cs="Calibri"/>
          <w:b/>
          <w:bCs/>
          <w:i/>
          <w:iCs/>
          <w:sz w:val="24"/>
          <w:szCs w:val="24"/>
        </w:rPr>
        <w:t>2025, sales</w:t>
      </w:r>
      <w:r w:rsidR="00280413" w:rsidRPr="00BE050A">
        <w:rPr>
          <w:rFonts w:cs="Calibri"/>
          <w:b/>
          <w:bCs/>
          <w:i/>
          <w:iCs/>
          <w:sz w:val="24"/>
          <w:szCs w:val="24"/>
        </w:rPr>
        <w:t xml:space="preserve"> reached 1,000 homes sold</w:t>
      </w:r>
      <w:r w:rsidR="00034256" w:rsidRPr="00BE050A">
        <w:rPr>
          <w:rFonts w:cs="Calibri"/>
          <w:b/>
          <w:bCs/>
          <w:i/>
          <w:iCs/>
          <w:sz w:val="24"/>
          <w:szCs w:val="24"/>
        </w:rPr>
        <w:t>, and were</w:t>
      </w:r>
      <w:r w:rsidR="00280413" w:rsidRPr="00BE050A">
        <w:rPr>
          <w:rFonts w:cs="Calibri"/>
          <w:b/>
          <w:bCs/>
          <w:i/>
          <w:iCs/>
          <w:sz w:val="24"/>
          <w:szCs w:val="24"/>
        </w:rPr>
        <w:t xml:space="preserve"> a 4.4% increase over sales in </w:t>
      </w:r>
      <w:r w:rsidR="00034256" w:rsidRPr="00BE050A">
        <w:rPr>
          <w:rFonts w:cs="Calibri"/>
          <w:b/>
          <w:bCs/>
          <w:i/>
          <w:iCs/>
          <w:sz w:val="24"/>
          <w:szCs w:val="24"/>
        </w:rPr>
        <w:t xml:space="preserve">all of </w:t>
      </w:r>
      <w:r w:rsidR="00280413" w:rsidRPr="00BE050A">
        <w:rPr>
          <w:rFonts w:cs="Calibri"/>
          <w:b/>
          <w:bCs/>
          <w:i/>
          <w:iCs/>
          <w:sz w:val="24"/>
          <w:szCs w:val="24"/>
        </w:rPr>
        <w:t xml:space="preserve">2024. The MLS reported 1,240 new listings during the year, compared to 1,273 last year. For the year, the Median Sale Price </w:t>
      </w:r>
      <w:r w:rsidR="00034256" w:rsidRPr="00BE050A">
        <w:rPr>
          <w:rFonts w:cs="Calibri"/>
          <w:b/>
          <w:bCs/>
          <w:i/>
          <w:iCs/>
          <w:sz w:val="24"/>
          <w:szCs w:val="24"/>
        </w:rPr>
        <w:t xml:space="preserve">inched </w:t>
      </w:r>
      <w:r w:rsidR="00280413" w:rsidRPr="00BE050A">
        <w:rPr>
          <w:rFonts w:cs="Calibri"/>
          <w:b/>
          <w:bCs/>
          <w:i/>
          <w:iCs/>
          <w:sz w:val="24"/>
          <w:szCs w:val="24"/>
        </w:rPr>
        <w:t xml:space="preserve">up to $320,000, which was a modest increase of less than 2% from </w:t>
      </w:r>
      <w:r w:rsidR="00034256" w:rsidRPr="00BE050A">
        <w:rPr>
          <w:rFonts w:cs="Calibri"/>
          <w:b/>
          <w:bCs/>
          <w:i/>
          <w:iCs/>
          <w:sz w:val="24"/>
          <w:szCs w:val="24"/>
        </w:rPr>
        <w:t>last year</w:t>
      </w:r>
      <w:r w:rsidR="00280413" w:rsidRPr="00BE050A">
        <w:rPr>
          <w:rFonts w:cs="Calibri"/>
          <w:b/>
          <w:bCs/>
          <w:i/>
          <w:iCs/>
          <w:sz w:val="24"/>
          <w:szCs w:val="24"/>
        </w:rPr>
        <w:t xml:space="preserve">. </w:t>
      </w:r>
      <w:r w:rsidR="00034256" w:rsidRPr="00BE050A">
        <w:rPr>
          <w:rFonts w:cs="Calibri"/>
          <w:b/>
          <w:bCs/>
          <w:i/>
          <w:iCs/>
          <w:sz w:val="24"/>
          <w:szCs w:val="24"/>
        </w:rPr>
        <w:t>Y</w:t>
      </w:r>
      <w:r w:rsidR="00280413" w:rsidRPr="00BE050A">
        <w:rPr>
          <w:rFonts w:cs="Calibri"/>
          <w:b/>
          <w:bCs/>
          <w:i/>
          <w:iCs/>
          <w:sz w:val="24"/>
          <w:szCs w:val="24"/>
        </w:rPr>
        <w:t xml:space="preserve">ear-end numbers </w:t>
      </w:r>
      <w:r w:rsidR="00034256" w:rsidRPr="00BE050A">
        <w:rPr>
          <w:rFonts w:cs="Calibri"/>
          <w:b/>
          <w:bCs/>
          <w:i/>
          <w:iCs/>
          <w:sz w:val="24"/>
          <w:szCs w:val="24"/>
        </w:rPr>
        <w:t>look positive;</w:t>
      </w:r>
      <w:r w:rsidR="00280413" w:rsidRPr="00BE050A">
        <w:rPr>
          <w:rFonts w:cs="Calibri"/>
          <w:b/>
          <w:bCs/>
          <w:i/>
          <w:iCs/>
          <w:sz w:val="24"/>
          <w:szCs w:val="24"/>
        </w:rPr>
        <w:t xml:space="preserve"> however, recent months </w:t>
      </w:r>
      <w:r w:rsidR="00034256" w:rsidRPr="00BE050A">
        <w:rPr>
          <w:rFonts w:cs="Calibri"/>
          <w:b/>
          <w:bCs/>
          <w:i/>
          <w:iCs/>
          <w:sz w:val="24"/>
          <w:szCs w:val="24"/>
        </w:rPr>
        <w:t xml:space="preserve">show a different trend with </w:t>
      </w:r>
      <w:r w:rsidR="00280413" w:rsidRPr="00BE050A">
        <w:rPr>
          <w:rFonts w:cs="Calibri"/>
          <w:b/>
          <w:bCs/>
          <w:i/>
          <w:iCs/>
          <w:sz w:val="24"/>
          <w:szCs w:val="24"/>
        </w:rPr>
        <w:t xml:space="preserve">August being the last month home sales </w:t>
      </w:r>
      <w:r w:rsidR="00034256" w:rsidRPr="00BE050A">
        <w:rPr>
          <w:rFonts w:cs="Calibri"/>
          <w:b/>
          <w:bCs/>
          <w:i/>
          <w:iCs/>
          <w:sz w:val="24"/>
          <w:szCs w:val="24"/>
        </w:rPr>
        <w:t>increased over the same month in the prior year</w:t>
      </w:r>
      <w:r w:rsidR="00280413" w:rsidRPr="00BE050A">
        <w:rPr>
          <w:rFonts w:cs="Calibri"/>
          <w:b/>
          <w:bCs/>
          <w:i/>
          <w:iCs/>
          <w:sz w:val="24"/>
          <w:szCs w:val="24"/>
        </w:rPr>
        <w:t>.</w:t>
      </w:r>
      <w:r w:rsidR="00034256" w:rsidRPr="00BE050A">
        <w:rPr>
          <w:rFonts w:cs="Calibri"/>
          <w:b/>
          <w:bCs/>
          <w:i/>
          <w:iCs/>
          <w:sz w:val="24"/>
          <w:szCs w:val="24"/>
        </w:rPr>
        <w:t xml:space="preserve"> Housing inventory remains tight but is poised to grow as Seller’s prepare for the spring m</w:t>
      </w:r>
      <w:r w:rsidR="00BE050A" w:rsidRPr="00BE050A">
        <w:rPr>
          <w:rFonts w:cs="Calibri"/>
          <w:b/>
          <w:bCs/>
          <w:i/>
          <w:iCs/>
          <w:sz w:val="24"/>
          <w:szCs w:val="24"/>
        </w:rPr>
        <w:t>arket.”</w:t>
      </w:r>
    </w:p>
    <w:p w14:paraId="1E809FE8" w14:textId="77777777" w:rsidR="00BE050A" w:rsidRDefault="00BE050A" w:rsidP="00BE050A">
      <w:pPr>
        <w:rPr>
          <w:rFonts w:cs="Calibri"/>
          <w:sz w:val="24"/>
        </w:rPr>
      </w:pPr>
    </w:p>
    <w:p w14:paraId="015705FF" w14:textId="2C85A7BC" w:rsidR="00BE050A" w:rsidRPr="00BE050A" w:rsidRDefault="00BE050A" w:rsidP="00BE050A">
      <w:pPr>
        <w:rPr>
          <w:rFonts w:cs="Calibri"/>
          <w:sz w:val="24"/>
        </w:rPr>
      </w:pPr>
      <w:r w:rsidRPr="00BE050A">
        <w:rPr>
          <w:rFonts w:cs="Calibri"/>
          <w:sz w:val="24"/>
        </w:rPr>
        <w:t xml:space="preserve">For questions and/or comments, please contact </w:t>
      </w:r>
      <w:bookmarkStart w:id="4" w:name="Contact"/>
      <w:bookmarkEnd w:id="4"/>
      <w:r w:rsidRPr="00BE050A">
        <w:rPr>
          <w:rFonts w:cs="Calibri"/>
          <w:sz w:val="24"/>
        </w:rPr>
        <w:t>LBOR President Erin Maigaard at 785-764-5496 or EMaigaard@askMcGrew.com.</w:t>
      </w:r>
    </w:p>
    <w:p w14:paraId="028DCA8D" w14:textId="77777777" w:rsidR="00BE050A" w:rsidRPr="00EF6CEB" w:rsidRDefault="00BE050A" w:rsidP="00BE050A">
      <w:pPr>
        <w:rPr>
          <w:rFonts w:cs="Calibri"/>
          <w:sz w:val="24"/>
        </w:rPr>
      </w:pPr>
    </w:p>
    <w:p w14:paraId="14A03E92" w14:textId="77777777" w:rsidR="00BE050A" w:rsidRPr="00EF6CEB" w:rsidRDefault="00BE050A" w:rsidP="00BE050A">
      <w:pPr>
        <w:spacing w:after="240"/>
        <w:rPr>
          <w:rFonts w:cs="Calibri"/>
          <w:sz w:val="24"/>
        </w:rPr>
      </w:pPr>
      <w:r w:rsidRPr="00EF6CEB">
        <w:rPr>
          <w:rFonts w:cs="Calibri"/>
          <w:sz w:val="24"/>
        </w:rPr>
        <w:t xml:space="preserve">Complete statistical summaries for Lawrence and Douglas County are available at </w:t>
      </w:r>
      <w:hyperlink r:id="rId10" w:history="1">
        <w:r w:rsidRPr="00EF6CEB">
          <w:rPr>
            <w:rStyle w:val="Hyperlink"/>
            <w:rFonts w:cs="Calibri"/>
            <w:sz w:val="24"/>
          </w:rPr>
          <w:t>http://www.lawrencerealtor.com/market-statistics/</w:t>
        </w:r>
      </w:hyperlink>
      <w:r w:rsidRPr="00EF6CEB">
        <w:rPr>
          <w:rFonts w:cs="Calibri"/>
          <w:sz w:val="24"/>
        </w:rPr>
        <w:t xml:space="preserve">.   </w:t>
      </w:r>
    </w:p>
    <w:p w14:paraId="033E09AF" w14:textId="21061060" w:rsidR="004E177F" w:rsidRPr="00EF6CEB" w:rsidRDefault="00BE050A" w:rsidP="00CA0142">
      <w:pPr>
        <w:rPr>
          <w:rFonts w:eastAsia="Times New Roman" w:cs="Calibri"/>
          <w:b/>
          <w:i/>
          <w:sz w:val="24"/>
        </w:rPr>
      </w:pPr>
      <w:r w:rsidRPr="00BE050A">
        <w:rPr>
          <w:rFonts w:eastAsia="Times New Roman" w:cs="Calibri"/>
          <w:b/>
          <w:i/>
          <w:noProof/>
          <w:sz w:val="24"/>
        </w:rPr>
        <w:lastRenderedPageBreak/>
        <w:drawing>
          <wp:inline distT="0" distB="0" distL="0" distR="0" wp14:anchorId="00AEE815" wp14:editId="47B06F81">
            <wp:extent cx="5722961" cy="3124395"/>
            <wp:effectExtent l="152400" t="152400" r="354330" b="361950"/>
            <wp:docPr id="865855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55801" name=""/>
                    <pic:cNvPicPr/>
                  </pic:nvPicPr>
                  <pic:blipFill>
                    <a:blip r:embed="rId11"/>
                    <a:stretch>
                      <a:fillRect/>
                    </a:stretch>
                  </pic:blipFill>
                  <pic:spPr>
                    <a:xfrm>
                      <a:off x="0" y="0"/>
                      <a:ext cx="5749548" cy="3138910"/>
                    </a:xfrm>
                    <a:prstGeom prst="rect">
                      <a:avLst/>
                    </a:prstGeom>
                    <a:ln>
                      <a:noFill/>
                    </a:ln>
                    <a:effectLst>
                      <a:outerShdw blurRad="292100" dist="139700" dir="2700000" algn="tl" rotWithShape="0">
                        <a:srgbClr val="333333">
                          <a:alpha val="65000"/>
                        </a:srgbClr>
                      </a:outerShdw>
                    </a:effectLst>
                  </pic:spPr>
                </pic:pic>
              </a:graphicData>
            </a:graphic>
          </wp:inline>
        </w:drawing>
      </w:r>
    </w:p>
    <w:p w14:paraId="1A33E833" w14:textId="77777777" w:rsidR="00B90C0A" w:rsidRPr="00EF6CEB" w:rsidRDefault="00B90C0A">
      <w:pPr>
        <w:rPr>
          <w:rFonts w:cs="Calibri"/>
          <w:sz w:val="24"/>
        </w:rPr>
      </w:pPr>
    </w:p>
    <w:p w14:paraId="545FAB3E" w14:textId="77777777" w:rsidR="00B90C0A" w:rsidRPr="00EF6CEB" w:rsidRDefault="002C6041" w:rsidP="00166BAF">
      <w:pPr>
        <w:spacing w:after="200" w:line="276" w:lineRule="auto"/>
        <w:ind w:right="-90"/>
        <w:jc w:val="center"/>
        <w:rPr>
          <w:rFonts w:cs="Calibri"/>
          <w:sz w:val="24"/>
        </w:rPr>
      </w:pPr>
      <w:r w:rsidRPr="00EF6CEB">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EF6CEB">
        <w:rPr>
          <w:rFonts w:eastAsia="Times New Roman" w:cs="Calibri"/>
          <w:noProof/>
          <w:color w:val="0000FF"/>
          <w:sz w:val="24"/>
        </w:rPr>
        <w:drawing>
          <wp:inline distT="0" distB="0" distL="0" distR="0" wp14:anchorId="0F436FCA" wp14:editId="1E2DBDCE">
            <wp:extent cx="390525" cy="400050"/>
            <wp:effectExtent l="0" t="0" r="9525" b="0"/>
            <wp:docPr id="2" name="Picture 2" descr="http://tbn2.google.com/images?q=tbn:6i2ugS4bLf5GSM:http://www.rochesterandoaklandhomes.com/Equal_Housing_Logo_op_585x600.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EF6CEB"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59926677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34256"/>
    <w:rsid w:val="000461EA"/>
    <w:rsid w:val="00067179"/>
    <w:rsid w:val="00091AAE"/>
    <w:rsid w:val="000943E0"/>
    <w:rsid w:val="000A00FC"/>
    <w:rsid w:val="0010383A"/>
    <w:rsid w:val="00166BAF"/>
    <w:rsid w:val="001D3E00"/>
    <w:rsid w:val="0022599E"/>
    <w:rsid w:val="00251BE5"/>
    <w:rsid w:val="00280413"/>
    <w:rsid w:val="00284C9F"/>
    <w:rsid w:val="002A2005"/>
    <w:rsid w:val="002A70E3"/>
    <w:rsid w:val="002C6041"/>
    <w:rsid w:val="00331D2E"/>
    <w:rsid w:val="003675FD"/>
    <w:rsid w:val="00367727"/>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6E1C1A"/>
    <w:rsid w:val="00717587"/>
    <w:rsid w:val="00724F67"/>
    <w:rsid w:val="00725B9C"/>
    <w:rsid w:val="00742EB6"/>
    <w:rsid w:val="007627F0"/>
    <w:rsid w:val="007B26DA"/>
    <w:rsid w:val="007B63B8"/>
    <w:rsid w:val="007D5EA5"/>
    <w:rsid w:val="00800CDB"/>
    <w:rsid w:val="0081026A"/>
    <w:rsid w:val="00865083"/>
    <w:rsid w:val="0087638D"/>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BE050A"/>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EF6CEB"/>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6FD7F3-49A0-4995-A817-A1D5A31C3EBC}">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DE390625-0EC7-4869-9388-801136B73561}">
  <ds:schemaRefs>
    <ds:schemaRef ds:uri="http://schemas.microsoft.com/sharepoint/v3/contenttype/forms"/>
  </ds:schemaRefs>
</ds:datastoreItem>
</file>

<file path=customXml/itemProps3.xml><?xml version="1.0" encoding="utf-8"?>
<ds:datastoreItem xmlns:ds="http://schemas.openxmlformats.org/officeDocument/2006/customXml" ds:itemID="{95EAC1D2-9696-4388-B313-71ACBE96D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1846</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2026-01-22T19:01:00Z</dcterms:created>
  <dcterms:modified xsi:type="dcterms:W3CDTF">2026-01-22T19:23:00Z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0x010100F854E280FBE3634D815F9B4C1F916F3B</vt:lpwstr>
  </property>
</Properties>
</file>